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D20" w:rsidRPr="001B7C99" w:rsidRDefault="00AA6D20" w:rsidP="00AA6D20">
      <w:pPr>
        <w:jc w:val="center"/>
      </w:pPr>
      <w:r w:rsidRPr="001B7C99">
        <w:rPr>
          <w:rFonts w:ascii="Cambria" w:hAnsi="Cambria"/>
          <w:b/>
          <w:bCs/>
          <w:sz w:val="22"/>
          <w:szCs w:val="22"/>
        </w:rPr>
        <w:t>TURAK </w:t>
      </w:r>
    </w:p>
    <w:p w:rsidR="00AA6D20" w:rsidRPr="001B7C99" w:rsidRDefault="00AA6D20" w:rsidP="00AA6D20">
      <w:pPr>
        <w:jc w:val="center"/>
      </w:pPr>
      <w:r w:rsidRPr="001B7C99">
        <w:rPr>
          <w:rFonts w:ascii="Cambria" w:hAnsi="Cambria"/>
          <w:b/>
          <w:bCs/>
          <w:sz w:val="22"/>
          <w:szCs w:val="22"/>
        </w:rPr>
        <w:t>TURİZM EĞİTİMİ DEĞERLENDİRME VE AKREDİTASYON KURULU </w:t>
      </w:r>
    </w:p>
    <w:p w:rsidR="00AA6D20" w:rsidRPr="001B7C99" w:rsidRDefault="00AA6D20" w:rsidP="00AA6D20">
      <w:pPr>
        <w:jc w:val="center"/>
      </w:pPr>
      <w:r w:rsidRPr="001B7C99">
        <w:rPr>
          <w:rFonts w:ascii="Cambria" w:hAnsi="Cambria"/>
          <w:b/>
          <w:bCs/>
          <w:sz w:val="22"/>
          <w:szCs w:val="22"/>
        </w:rPr>
        <w:t>ÖN LİSANS -LİSANS TURİZM PROGRAMLARI</w:t>
      </w:r>
    </w:p>
    <w:p w:rsidR="00AA6D20" w:rsidRPr="001B7C99" w:rsidRDefault="00AA6D20" w:rsidP="00AA6D20">
      <w:pPr>
        <w:jc w:val="center"/>
      </w:pPr>
      <w:r w:rsidRPr="001B7C99">
        <w:rPr>
          <w:rFonts w:ascii="Cambria" w:hAnsi="Cambria"/>
          <w:b/>
          <w:bCs/>
          <w:sz w:val="22"/>
          <w:szCs w:val="22"/>
        </w:rPr>
        <w:t>2023 - 2024 YILI TEMATİK ANALİZ RAPORU</w:t>
      </w:r>
    </w:p>
    <w:p w:rsidR="00AA6D20" w:rsidRPr="001B7C99" w:rsidRDefault="00AA6D20" w:rsidP="00AA6D20"/>
    <w:p w:rsidR="008E0A3D" w:rsidRDefault="008E0A3D" w:rsidP="00AA6D20"/>
    <w:p w:rsidR="001B7C99" w:rsidRPr="001B7C99" w:rsidRDefault="001B7C99" w:rsidP="00AA6D20"/>
    <w:p w:rsidR="00AA6D20" w:rsidRPr="001B7C99" w:rsidRDefault="00AA6D20" w:rsidP="00AA6D20">
      <w:pPr>
        <w:spacing w:before="60"/>
        <w:ind w:firstLine="709"/>
        <w:jc w:val="both"/>
        <w:rPr>
          <w:rFonts w:ascii="Cambria" w:hAnsi="Cambria"/>
          <w:b/>
          <w:bCs/>
          <w:sz w:val="22"/>
          <w:szCs w:val="22"/>
        </w:rPr>
      </w:pPr>
      <w:r w:rsidRPr="001B7C99">
        <w:rPr>
          <w:rFonts w:ascii="Cambria" w:hAnsi="Cambria"/>
          <w:b/>
          <w:bCs/>
          <w:sz w:val="22"/>
          <w:szCs w:val="22"/>
        </w:rPr>
        <w:t>1.GİRİŞ</w:t>
      </w:r>
    </w:p>
    <w:p w:rsidR="006C5A5E" w:rsidRPr="001B7C99" w:rsidRDefault="00AA6D20" w:rsidP="001B7C99">
      <w:pPr>
        <w:spacing w:before="60"/>
        <w:ind w:firstLine="709"/>
        <w:jc w:val="both"/>
      </w:pPr>
      <w:r w:rsidRPr="001B7C99">
        <w:rPr>
          <w:rFonts w:ascii="Cambria" w:hAnsi="Cambria"/>
          <w:sz w:val="22"/>
          <w:szCs w:val="22"/>
        </w:rPr>
        <w:t> 2023-2024 yılı tematik analizi raporu, TURAK Turizm Eğitimi Değerlendirme ve Akreditasyon Kurulu Yönetmeliğinin 21.Maddesi ile TURAK Turizm Eğitimi Değerlendirme ve Akreditasyon Kurulu Değerlendirme Raporu İnceleme Kurulunu (DERİK) yönergesinin 9/5. maddesi uyarınca hazırlanmıştır. </w:t>
      </w:r>
    </w:p>
    <w:p w:rsidR="008E0A3D" w:rsidRPr="001B7C99" w:rsidRDefault="00AA6D20" w:rsidP="001B7C99">
      <w:pPr>
        <w:spacing w:before="60"/>
        <w:ind w:firstLine="709"/>
        <w:jc w:val="both"/>
        <w:rPr>
          <w:rFonts w:ascii="Cambria" w:hAnsi="Cambria"/>
          <w:sz w:val="22"/>
          <w:szCs w:val="22"/>
        </w:rPr>
      </w:pPr>
      <w:r w:rsidRPr="001B7C99">
        <w:rPr>
          <w:rFonts w:ascii="Cambria" w:hAnsi="Cambria"/>
          <w:sz w:val="22"/>
          <w:szCs w:val="22"/>
        </w:rPr>
        <w:t>Rapor; 2023 ve 2024 yılları</w:t>
      </w:r>
      <w:r w:rsidR="001B7C99" w:rsidRPr="001B7C99">
        <w:rPr>
          <w:rFonts w:ascii="Cambria" w:hAnsi="Cambria"/>
          <w:sz w:val="22"/>
          <w:szCs w:val="22"/>
        </w:rPr>
        <w:t xml:space="preserve"> </w:t>
      </w:r>
      <w:r w:rsidRPr="001B7C99">
        <w:rPr>
          <w:rFonts w:ascii="Cambria" w:hAnsi="Cambria"/>
          <w:sz w:val="22"/>
          <w:szCs w:val="22"/>
        </w:rPr>
        <w:t xml:space="preserve">içinde ilk kez akreditasyon ve değerlendirme çalışması yapılan programlar için, TURAK’a takım başkanları tarafından gönderilen Program Değerlendirici Raporları, sunulan nihai raporlar ve puanlama tabloları üzerinden hazırlanmıştır. </w:t>
      </w:r>
    </w:p>
    <w:p w:rsidR="00D76FA6" w:rsidRPr="001B7C99" w:rsidRDefault="00AA6D20" w:rsidP="001B7C99">
      <w:pPr>
        <w:spacing w:before="60"/>
        <w:ind w:firstLine="709"/>
        <w:jc w:val="both"/>
        <w:rPr>
          <w:rFonts w:ascii="Cambria" w:hAnsi="Cambria"/>
          <w:sz w:val="22"/>
          <w:szCs w:val="22"/>
        </w:rPr>
      </w:pPr>
      <w:r w:rsidRPr="001B7C99">
        <w:rPr>
          <w:rFonts w:ascii="Cambria" w:hAnsi="Cambria"/>
          <w:b/>
          <w:bCs/>
          <w:sz w:val="22"/>
          <w:szCs w:val="22"/>
        </w:rPr>
        <w:t xml:space="preserve">2023 yılında </w:t>
      </w:r>
      <w:r w:rsidR="00C4504E" w:rsidRPr="001B7C99">
        <w:rPr>
          <w:rFonts w:ascii="Cambria" w:hAnsi="Cambria"/>
          <w:b/>
          <w:bCs/>
          <w:sz w:val="22"/>
          <w:szCs w:val="22"/>
        </w:rPr>
        <w:t>11</w:t>
      </w:r>
      <w:r w:rsidRPr="001B7C99">
        <w:rPr>
          <w:rFonts w:ascii="Cambria" w:hAnsi="Cambria"/>
          <w:b/>
          <w:bCs/>
          <w:sz w:val="22"/>
          <w:szCs w:val="22"/>
        </w:rPr>
        <w:t xml:space="preserve"> lisans</w:t>
      </w:r>
      <w:r w:rsidR="001B7C99" w:rsidRPr="001B7C99">
        <w:rPr>
          <w:rFonts w:ascii="Cambria" w:hAnsi="Cambria"/>
          <w:b/>
          <w:bCs/>
          <w:sz w:val="22"/>
          <w:szCs w:val="22"/>
        </w:rPr>
        <w:t xml:space="preserve"> </w:t>
      </w:r>
      <w:proofErr w:type="gramStart"/>
      <w:r w:rsidR="00C4504E" w:rsidRPr="001B7C99">
        <w:rPr>
          <w:rFonts w:ascii="Cambria" w:hAnsi="Cambria"/>
          <w:sz w:val="22"/>
          <w:szCs w:val="22"/>
        </w:rPr>
        <w:t>(</w:t>
      </w:r>
      <w:proofErr w:type="gramEnd"/>
      <w:r w:rsidR="00C4504E" w:rsidRPr="001B7C99">
        <w:rPr>
          <w:rFonts w:ascii="Cambria" w:hAnsi="Cambria"/>
          <w:sz w:val="22"/>
          <w:szCs w:val="22"/>
        </w:rPr>
        <w:t xml:space="preserve">Atatürk Üniversitesi-Turizm Fakültesi-Turizm İşletmeciliği, Batman Üniversitesi-Turizm Fakültesi-Turizm Rehberliği, Doğuş Üniversitesi-Sanat ve Tasarım Fakültesi-Gastronomi ve Mutfak Sanatları, Düzce Üniversitesi-Akçakoca Turizm İşl. </w:t>
      </w:r>
      <w:proofErr w:type="gramStart"/>
      <w:r w:rsidR="006C5A5E" w:rsidRPr="001B7C99">
        <w:rPr>
          <w:rFonts w:ascii="Cambria" w:hAnsi="Cambria"/>
          <w:sz w:val="22"/>
          <w:szCs w:val="22"/>
        </w:rPr>
        <w:t>ve</w:t>
      </w:r>
      <w:proofErr w:type="gramEnd"/>
      <w:r w:rsidR="00C4504E" w:rsidRPr="001B7C99">
        <w:rPr>
          <w:rFonts w:ascii="Cambria" w:hAnsi="Cambria"/>
          <w:sz w:val="22"/>
          <w:szCs w:val="22"/>
        </w:rPr>
        <w:t xml:space="preserve"> Otelcilik YO-Turizm İşletmeciliği, Erciyes Üniversitesi-Türkan – </w:t>
      </w:r>
      <w:proofErr w:type="spellStart"/>
      <w:r w:rsidR="00C4504E" w:rsidRPr="001B7C99">
        <w:rPr>
          <w:rFonts w:ascii="Cambria" w:hAnsi="Cambria"/>
          <w:sz w:val="22"/>
          <w:szCs w:val="22"/>
        </w:rPr>
        <w:t>Tuncer</w:t>
      </w:r>
      <w:proofErr w:type="spellEnd"/>
      <w:r w:rsidR="00C4504E" w:rsidRPr="001B7C99">
        <w:rPr>
          <w:rFonts w:ascii="Cambria" w:hAnsi="Cambria"/>
          <w:sz w:val="22"/>
          <w:szCs w:val="22"/>
        </w:rPr>
        <w:t xml:space="preserve"> </w:t>
      </w:r>
      <w:proofErr w:type="spellStart"/>
      <w:r w:rsidR="00C4504E" w:rsidRPr="001B7C99">
        <w:rPr>
          <w:rFonts w:ascii="Cambria" w:hAnsi="Cambria"/>
          <w:sz w:val="22"/>
          <w:szCs w:val="22"/>
        </w:rPr>
        <w:t>Hasçalık</w:t>
      </w:r>
      <w:proofErr w:type="spellEnd"/>
      <w:r w:rsidR="00C4504E" w:rsidRPr="001B7C99">
        <w:rPr>
          <w:rFonts w:ascii="Cambria" w:hAnsi="Cambria"/>
          <w:sz w:val="22"/>
          <w:szCs w:val="22"/>
        </w:rPr>
        <w:t xml:space="preserve"> Turizm Fakültesi-Turizm Rehberliği, Kapadokya Üniversitesi Uygulamalı Bilimler YO-Gastronomi ve Mutfak Sanatları, Kastamonu Üniversitesi-Turizm Fakültesi Gastronomi ve Mutfak Sanatları, Mardin </w:t>
      </w:r>
      <w:proofErr w:type="spellStart"/>
      <w:r w:rsidR="00C4504E" w:rsidRPr="001B7C99">
        <w:rPr>
          <w:rFonts w:ascii="Cambria" w:hAnsi="Cambria"/>
          <w:sz w:val="22"/>
          <w:szCs w:val="22"/>
        </w:rPr>
        <w:t>Artuklu</w:t>
      </w:r>
      <w:proofErr w:type="spellEnd"/>
      <w:r w:rsidR="00C4504E" w:rsidRPr="001B7C99">
        <w:rPr>
          <w:rFonts w:ascii="Cambria" w:hAnsi="Cambria"/>
          <w:sz w:val="22"/>
          <w:szCs w:val="22"/>
        </w:rPr>
        <w:t xml:space="preserve"> Üniversitesi-Turizm Fakültesi-Gastronomi ve Mutfak Sanatları, Mardin </w:t>
      </w:r>
      <w:proofErr w:type="spellStart"/>
      <w:r w:rsidR="00C4504E" w:rsidRPr="001B7C99">
        <w:rPr>
          <w:rFonts w:ascii="Cambria" w:hAnsi="Cambria"/>
          <w:sz w:val="22"/>
          <w:szCs w:val="22"/>
        </w:rPr>
        <w:t>Artuklu</w:t>
      </w:r>
      <w:proofErr w:type="spellEnd"/>
      <w:r w:rsidR="00C4504E" w:rsidRPr="001B7C99">
        <w:rPr>
          <w:rFonts w:ascii="Cambria" w:hAnsi="Cambria"/>
          <w:sz w:val="22"/>
          <w:szCs w:val="22"/>
        </w:rPr>
        <w:t xml:space="preserve"> Üniversitesi-Turizm Fakültesi-Turizm İşletmeciliği, Nişantaşı Üniversitesi-Sanat ve Tasarım Fakültesi-Gastronomi ve Mutfak Sanatları, Trakya Üniversitesi-Uygulamalı Bilimler Fakültesi-Turizm İşletmeciliği) </w:t>
      </w:r>
      <w:r w:rsidRPr="001B7C99">
        <w:rPr>
          <w:rFonts w:ascii="Cambria" w:hAnsi="Cambria"/>
          <w:b/>
          <w:bCs/>
          <w:sz w:val="22"/>
          <w:szCs w:val="22"/>
        </w:rPr>
        <w:t xml:space="preserve">ve </w:t>
      </w:r>
      <w:r w:rsidR="00C4504E" w:rsidRPr="001B7C99">
        <w:rPr>
          <w:rFonts w:ascii="Cambria" w:hAnsi="Cambria"/>
          <w:b/>
          <w:bCs/>
          <w:sz w:val="22"/>
          <w:szCs w:val="22"/>
        </w:rPr>
        <w:t>8</w:t>
      </w:r>
      <w:r w:rsidRPr="001B7C99">
        <w:rPr>
          <w:rFonts w:ascii="Cambria" w:hAnsi="Cambria"/>
          <w:b/>
          <w:bCs/>
          <w:sz w:val="22"/>
          <w:szCs w:val="22"/>
        </w:rPr>
        <w:t xml:space="preserve"> önlisans programının</w:t>
      </w:r>
      <w:r w:rsidR="00C4504E" w:rsidRPr="001B7C99">
        <w:rPr>
          <w:rFonts w:ascii="Cambria" w:hAnsi="Cambria"/>
          <w:sz w:val="22"/>
          <w:szCs w:val="22"/>
        </w:rPr>
        <w:t xml:space="preserve"> (Anadolu Üniversitesi-Eskişehir Meslek Yüksekokulu-Aşçılık, Anadolu Üniversitesi-Eskişehir Meslek Yüksekokulu-Turizm ve Otel İşletmeciliği, Batman Üniversitesi-Hasankeyf Meslek Yüksekokulu-Aşçılık, Kapadokya Üniversitesi-Kapadokya Meslek Yüksekokulu-Turist Rehberliği, Kayseri Üniversitesi-Develi Hüseyin Şahin Meslek YO-Aşçılık, Nişantaşı Üniversitesi-Meslek Yüksekokulu-Aşçılık, Nişantaşı Üniversitesi-Meslek Yüksekokulu-Turist Rehberliği, Nişantaşı Üniversitesi-Meslek Yüksekokulu-Turizm ve Otel İşletmeciliği</w:t>
      </w:r>
      <w:r w:rsidR="006C5A5E" w:rsidRPr="001B7C99">
        <w:rPr>
          <w:rFonts w:ascii="Cambria" w:hAnsi="Cambria"/>
          <w:sz w:val="22"/>
          <w:szCs w:val="22"/>
        </w:rPr>
        <w:t xml:space="preserve">, </w:t>
      </w:r>
    </w:p>
    <w:p w:rsidR="00C4504E" w:rsidRPr="001B7C99" w:rsidRDefault="006C5A5E" w:rsidP="001B7C99">
      <w:pPr>
        <w:spacing w:before="60"/>
        <w:ind w:firstLine="709"/>
        <w:jc w:val="both"/>
        <w:rPr>
          <w:rFonts w:ascii="Cambria" w:hAnsi="Cambria"/>
          <w:sz w:val="22"/>
          <w:szCs w:val="22"/>
        </w:rPr>
      </w:pPr>
      <w:proofErr w:type="gramStart"/>
      <w:r w:rsidRPr="001B7C99">
        <w:rPr>
          <w:rFonts w:ascii="Cambria" w:hAnsi="Cambria"/>
          <w:b/>
          <w:bCs/>
          <w:sz w:val="22"/>
          <w:szCs w:val="22"/>
        </w:rPr>
        <w:t>2024 yılında 11 lisans (</w:t>
      </w:r>
      <w:r w:rsidRPr="001B7C99">
        <w:rPr>
          <w:rFonts w:ascii="Cambria" w:hAnsi="Cambria"/>
          <w:sz w:val="22"/>
          <w:szCs w:val="22"/>
        </w:rPr>
        <w:t>Adıyaman Üniversitesi-Turizm Fakültesi-Turizm Rehberliği, Aydın Adnan Menderes Üniversitesi-Turizm Fakültesi-Seyahat İşletmeciliği, Aydın Adnan Menderes Üniversitesi-Turizm Fakültesi-</w:t>
      </w:r>
      <w:proofErr w:type="spellStart"/>
      <w:r w:rsidRPr="001B7C99">
        <w:rPr>
          <w:rFonts w:ascii="Cambria" w:hAnsi="Cambria"/>
          <w:sz w:val="22"/>
          <w:szCs w:val="22"/>
        </w:rPr>
        <w:t>Turizmİşletmeciliği</w:t>
      </w:r>
      <w:proofErr w:type="spellEnd"/>
      <w:r w:rsidRPr="001B7C99">
        <w:rPr>
          <w:rFonts w:ascii="Cambria" w:hAnsi="Cambria"/>
          <w:sz w:val="22"/>
          <w:szCs w:val="22"/>
        </w:rPr>
        <w:t xml:space="preserve">, Dokuz Eylül Üniversitesi-Turizm Fakültesi-Turizm İşletmeciliği, İstanbul Gedik Üniversitesi-Mimarlık ve Tasarım Fakültesi-Gastronomi ve Mutfak Sanatları, İstinye Üniversitesi-Güzel Sanatlar, Tasarım ve Mimarlık Fakültesi-Gastronomi ve Mutfak Sanatları, Mardin </w:t>
      </w:r>
      <w:proofErr w:type="spellStart"/>
      <w:r w:rsidRPr="001B7C99">
        <w:rPr>
          <w:rFonts w:ascii="Cambria" w:hAnsi="Cambria"/>
          <w:sz w:val="22"/>
          <w:szCs w:val="22"/>
        </w:rPr>
        <w:t>Artuklu</w:t>
      </w:r>
      <w:proofErr w:type="spellEnd"/>
      <w:r w:rsidRPr="001B7C99">
        <w:rPr>
          <w:rFonts w:ascii="Cambria" w:hAnsi="Cambria"/>
          <w:sz w:val="22"/>
          <w:szCs w:val="22"/>
        </w:rPr>
        <w:t xml:space="preserve"> Üniversitesi-Turizm Fakültesi-Turizm Rehberliği, Nevşehir HBV Üniversitesi-Turizm Fakültesi-Gastronomi ve Mutfak Sanatları (1. Öğretim), Nevşehir HBV Üniversitesi-Turizm Fakültesi-Gastronomi ve Mutfak Sanatları (2. Öğretim), </w:t>
      </w:r>
      <w:proofErr w:type="spellStart"/>
      <w:r w:rsidRPr="001B7C99">
        <w:rPr>
          <w:rFonts w:ascii="Cambria" w:hAnsi="Cambria"/>
          <w:sz w:val="22"/>
          <w:szCs w:val="22"/>
        </w:rPr>
        <w:t>Ondokuz</w:t>
      </w:r>
      <w:proofErr w:type="spellEnd"/>
      <w:r w:rsidRPr="001B7C99">
        <w:rPr>
          <w:rFonts w:ascii="Cambria" w:hAnsi="Cambria"/>
          <w:sz w:val="22"/>
          <w:szCs w:val="22"/>
        </w:rPr>
        <w:t xml:space="preserve"> Mayıs Üniversitesi-Turizm Fakültesi-Turizm İşletmeciliği, Şırnak Üniversitesi-Turizm ve Otel İşletmeciliği Y.O.-Gastronomi ve Mutfak Sanatları</w:t>
      </w:r>
      <w:r w:rsidR="002269F5" w:rsidRPr="001B7C99">
        <w:rPr>
          <w:rFonts w:ascii="Cambria" w:hAnsi="Cambria"/>
          <w:sz w:val="22"/>
          <w:szCs w:val="22"/>
        </w:rPr>
        <w:t>)</w:t>
      </w:r>
      <w:r w:rsidRPr="001B7C99">
        <w:rPr>
          <w:rFonts w:ascii="Cambria" w:hAnsi="Cambria"/>
          <w:b/>
          <w:bCs/>
          <w:sz w:val="22"/>
          <w:szCs w:val="22"/>
        </w:rPr>
        <w:t xml:space="preserve">ve 6 </w:t>
      </w:r>
      <w:proofErr w:type="spellStart"/>
      <w:r w:rsidRPr="001B7C99">
        <w:rPr>
          <w:rFonts w:ascii="Cambria" w:hAnsi="Cambria"/>
          <w:b/>
          <w:bCs/>
          <w:sz w:val="22"/>
          <w:szCs w:val="22"/>
        </w:rPr>
        <w:t>önlisans</w:t>
      </w:r>
      <w:proofErr w:type="spellEnd"/>
      <w:r w:rsidR="002269F5" w:rsidRPr="001B7C99">
        <w:rPr>
          <w:rFonts w:ascii="Cambria" w:hAnsi="Cambria"/>
          <w:b/>
          <w:bCs/>
          <w:sz w:val="22"/>
          <w:szCs w:val="22"/>
        </w:rPr>
        <w:t xml:space="preserve"> programının</w:t>
      </w:r>
      <w:r w:rsidR="001B7C99" w:rsidRPr="001B7C99">
        <w:rPr>
          <w:rFonts w:ascii="Cambria" w:hAnsi="Cambria"/>
          <w:b/>
          <w:bCs/>
          <w:sz w:val="22"/>
          <w:szCs w:val="22"/>
        </w:rPr>
        <w:t xml:space="preserve"> </w:t>
      </w:r>
      <w:r w:rsidRPr="001B7C99">
        <w:rPr>
          <w:rFonts w:ascii="Cambria" w:hAnsi="Cambria"/>
          <w:sz w:val="22"/>
          <w:szCs w:val="22"/>
        </w:rPr>
        <w:t>(</w:t>
      </w:r>
      <w:r w:rsidR="002269F5" w:rsidRPr="001B7C99">
        <w:rPr>
          <w:rFonts w:ascii="Cambria" w:hAnsi="Cambria"/>
          <w:sz w:val="22"/>
          <w:szCs w:val="22"/>
        </w:rPr>
        <w:t xml:space="preserve">Bursa Uludağ Üniversitesi-Harmancık MYO-Aşçılık, Bursa Uludağ Üniversitesi-İznik MYO-Turist Rehberliği, Doğuş Üniversitesi-MYO-Turizm ve Otel İşletmeciliği, Mersin Üniversitesi-Anamur MYO-Aşçılık, Mersin Üniversitesi-Anamur MYO-Turizm ve Otel İşletmeciliği, Uşak Üniversitesi-Ulubey MYO-Turizm ve Seyahat Hizmetleri ) </w:t>
      </w:r>
      <w:r w:rsidR="00AA6D20" w:rsidRPr="001B7C99">
        <w:rPr>
          <w:rFonts w:ascii="Cambria" w:hAnsi="Cambria"/>
          <w:sz w:val="22"/>
          <w:szCs w:val="22"/>
        </w:rPr>
        <w:t>ilk akreditasyon ve değerlendirme çalışması gerçekleştirilmiştir.</w:t>
      </w:r>
      <w:proofErr w:type="gramEnd"/>
    </w:p>
    <w:p w:rsidR="00C4504E" w:rsidRDefault="00C4504E" w:rsidP="00D76FA6">
      <w:pPr>
        <w:spacing w:before="60"/>
        <w:jc w:val="both"/>
        <w:rPr>
          <w:rFonts w:ascii="Cambria" w:hAnsi="Cambria"/>
          <w:b/>
          <w:bCs/>
          <w:sz w:val="22"/>
          <w:szCs w:val="22"/>
        </w:rPr>
      </w:pPr>
    </w:p>
    <w:p w:rsidR="001B7C99" w:rsidRDefault="001B7C99" w:rsidP="00D76FA6">
      <w:pPr>
        <w:spacing w:before="60"/>
        <w:jc w:val="both"/>
        <w:rPr>
          <w:rFonts w:ascii="Cambria" w:hAnsi="Cambria"/>
          <w:b/>
          <w:bCs/>
          <w:sz w:val="22"/>
          <w:szCs w:val="22"/>
        </w:rPr>
      </w:pPr>
    </w:p>
    <w:p w:rsidR="001B7C99" w:rsidRPr="001B7C99" w:rsidRDefault="001B7C99" w:rsidP="00D76FA6">
      <w:pPr>
        <w:spacing w:before="60"/>
        <w:jc w:val="both"/>
        <w:rPr>
          <w:rFonts w:ascii="Cambria" w:hAnsi="Cambria"/>
          <w:b/>
          <w:bCs/>
          <w:sz w:val="22"/>
          <w:szCs w:val="22"/>
        </w:rPr>
      </w:pPr>
    </w:p>
    <w:p w:rsidR="00AA6D20" w:rsidRPr="001B7C99" w:rsidRDefault="00AA6D20" w:rsidP="00AA6D20">
      <w:pPr>
        <w:spacing w:before="60"/>
        <w:ind w:firstLine="709"/>
        <w:jc w:val="both"/>
        <w:rPr>
          <w:rFonts w:ascii="Cambria" w:hAnsi="Cambria"/>
          <w:b/>
          <w:bCs/>
          <w:sz w:val="22"/>
          <w:szCs w:val="22"/>
        </w:rPr>
      </w:pPr>
      <w:r w:rsidRPr="001B7C99">
        <w:rPr>
          <w:rFonts w:ascii="Cambria" w:hAnsi="Cambria"/>
          <w:b/>
          <w:bCs/>
          <w:sz w:val="22"/>
          <w:szCs w:val="22"/>
        </w:rPr>
        <w:lastRenderedPageBreak/>
        <w:t>2.TESPİTLER </w:t>
      </w:r>
    </w:p>
    <w:p w:rsidR="00AA6D20" w:rsidRPr="001B7C99" w:rsidRDefault="00AA6D20" w:rsidP="00AA6D20">
      <w:pPr>
        <w:spacing w:before="60"/>
        <w:ind w:firstLine="709"/>
        <w:jc w:val="both"/>
      </w:pPr>
      <w:proofErr w:type="gramStart"/>
      <w:r w:rsidRPr="001B7C99">
        <w:rPr>
          <w:rFonts w:ascii="Cambria" w:hAnsi="Cambria"/>
          <w:sz w:val="22"/>
          <w:szCs w:val="22"/>
        </w:rPr>
        <w:t>Öğrenci kabulleri, izleme ve değerlendirme yöntemlerinin varlığı ve uygulanması; yatay ve dikey geçişler, çift anadal, yan dal, ders sayma yöntemlerinin varlığı ve uygulanması; öğrenci değişim yöntemlerinin varlığı ve uygulanması; başarı ölçme ve değerlendirme yöntemlerinin varlığı ve uygulanması; öğrenci memnuniyeti değerlendirme yöntemlerinin varlığı ve uygulanması; mezuniyet koşulları kontrol yöntemlerinin varlığı ve uygulanması ile mezunların ve mezun yeterliliklerinin sektör bakışıyla değerlendirildiği bir sistemin varlığı ve uygulanması hususlarında tüm üniversiteler için Kabul Edilebilir değerlendirmesi yapıldığı tespit edilmiştir. </w:t>
      </w:r>
      <w:proofErr w:type="gramEnd"/>
    </w:p>
    <w:p w:rsidR="00AA6D20" w:rsidRPr="001B7C99" w:rsidRDefault="00AA6D20" w:rsidP="00AA6D20">
      <w:pPr>
        <w:spacing w:before="60"/>
        <w:ind w:firstLine="709"/>
        <w:jc w:val="both"/>
      </w:pPr>
      <w:r w:rsidRPr="001B7C99">
        <w:rPr>
          <w:rFonts w:ascii="Cambria" w:hAnsi="Cambria"/>
          <w:sz w:val="22"/>
          <w:szCs w:val="22"/>
        </w:rPr>
        <w:t>Program öğretim amaçlarının tanımlanmış olması; TURAK tanımı, üniversite, fakülte</w:t>
      </w:r>
      <w:r w:rsidR="0083220B" w:rsidRPr="001B7C99">
        <w:rPr>
          <w:rFonts w:ascii="Cambria" w:hAnsi="Cambria"/>
          <w:sz w:val="22"/>
          <w:szCs w:val="22"/>
        </w:rPr>
        <w:t>, meslek</w:t>
      </w:r>
      <w:r w:rsidR="001B7C99" w:rsidRPr="001B7C99">
        <w:rPr>
          <w:rFonts w:ascii="Cambria" w:hAnsi="Cambria"/>
          <w:sz w:val="22"/>
          <w:szCs w:val="22"/>
        </w:rPr>
        <w:t xml:space="preserve"> </w:t>
      </w:r>
      <w:r w:rsidR="0083220B" w:rsidRPr="001B7C99">
        <w:rPr>
          <w:rFonts w:ascii="Cambria" w:hAnsi="Cambria"/>
          <w:sz w:val="22"/>
          <w:szCs w:val="22"/>
        </w:rPr>
        <w:t>yüksekokulu</w:t>
      </w:r>
      <w:r w:rsidR="001B7C99" w:rsidRPr="001B7C99">
        <w:rPr>
          <w:rFonts w:ascii="Cambria" w:hAnsi="Cambria"/>
          <w:sz w:val="22"/>
          <w:szCs w:val="22"/>
        </w:rPr>
        <w:t xml:space="preserve"> </w:t>
      </w:r>
      <w:r w:rsidRPr="001B7C99">
        <w:rPr>
          <w:rFonts w:ascii="Cambria" w:hAnsi="Cambria"/>
          <w:sz w:val="22"/>
          <w:szCs w:val="22"/>
        </w:rPr>
        <w:t xml:space="preserve">ve bölümün </w:t>
      </w:r>
      <w:proofErr w:type="spellStart"/>
      <w:r w:rsidRPr="001B7C99">
        <w:rPr>
          <w:rFonts w:ascii="Cambria" w:hAnsi="Cambria"/>
          <w:sz w:val="22"/>
          <w:szCs w:val="22"/>
        </w:rPr>
        <w:t>özgörevleriyle</w:t>
      </w:r>
      <w:proofErr w:type="spellEnd"/>
      <w:r w:rsidRPr="001B7C99">
        <w:rPr>
          <w:rFonts w:ascii="Cambria" w:hAnsi="Cambria"/>
          <w:sz w:val="22"/>
          <w:szCs w:val="22"/>
        </w:rPr>
        <w:t xml:space="preserve"> uyumu, iç ve dış paydaşların sürece </w:t>
      </w:r>
      <w:proofErr w:type="gramStart"/>
      <w:r w:rsidRPr="001B7C99">
        <w:rPr>
          <w:rFonts w:ascii="Cambria" w:hAnsi="Cambria"/>
          <w:sz w:val="22"/>
          <w:szCs w:val="22"/>
        </w:rPr>
        <w:t>dahil</w:t>
      </w:r>
      <w:proofErr w:type="gramEnd"/>
      <w:r w:rsidRPr="001B7C99">
        <w:rPr>
          <w:rFonts w:ascii="Cambria" w:hAnsi="Cambria"/>
          <w:sz w:val="22"/>
          <w:szCs w:val="22"/>
        </w:rPr>
        <w:t xml:space="preserve"> edilerek belirlenmiş olması ve onların gereksinimleri doğrultusunda güncellenmesi; kolay erişilebilecek şekilde yayımlanmış olması ve ulaşıldığını belirlemek ve belgelemek için kullanılan bir sürecin tanımlanarak işletiliyor olması hususlarında genellikle Kabul Edilebilir değerlendirmesi, bazı programlarda ise Yetersiz değerlendirmesi yapılmıştır. </w:t>
      </w:r>
    </w:p>
    <w:p w:rsidR="00AA6D20" w:rsidRPr="001B7C99" w:rsidRDefault="00AA6D20" w:rsidP="00AA6D20">
      <w:pPr>
        <w:spacing w:before="60"/>
        <w:ind w:firstLine="709"/>
        <w:jc w:val="both"/>
      </w:pPr>
      <w:r w:rsidRPr="001B7C99">
        <w:rPr>
          <w:rFonts w:ascii="Cambria" w:hAnsi="Cambria"/>
          <w:sz w:val="22"/>
          <w:szCs w:val="22"/>
        </w:rPr>
        <w:t>Program çıktılarının Türkiye Yükseköğretim Yeterlilikler Çerçevesindeki yetkinliklerle ve program öğretim amaçlarıyla tutarlı olması; TURAK çıktılarını kapsıyor olması ve TURAK çıktılarına ulaşıldığının kanıtlanması hususlarında ise genellikle Yetersiz değerlendirmesi, bazı programlarda ise Kabul Edilebilir değerlendirmesi yapılmıştır. </w:t>
      </w:r>
    </w:p>
    <w:p w:rsidR="00AA6D20" w:rsidRPr="001B7C99" w:rsidRDefault="00AA6D20" w:rsidP="00AA6D20">
      <w:pPr>
        <w:spacing w:before="60"/>
        <w:ind w:firstLine="709"/>
        <w:jc w:val="both"/>
      </w:pPr>
      <w:r w:rsidRPr="001B7C99">
        <w:rPr>
          <w:rFonts w:ascii="Cambria" w:hAnsi="Cambria"/>
          <w:sz w:val="22"/>
          <w:szCs w:val="22"/>
        </w:rPr>
        <w:t>Öğretim planlarının program öğretim amaçlarını ve program çıktılarını destekliyor olması, içeriğinin uygunluğu, müfredattaki teorik ve pratik derslerin uygun şekilde düzenlenmiş olması ve gerekli bileşenleri içeriyor olması hususlarında ise genellikle İyi değerlendirmesi, bazı programlarda ise Yetersiz ve Kabul Edilebilir değerlendirmeleri yapılmıştır. </w:t>
      </w:r>
    </w:p>
    <w:p w:rsidR="00AA6D20" w:rsidRPr="001B7C99" w:rsidRDefault="00AA6D20" w:rsidP="00AA6D20">
      <w:pPr>
        <w:spacing w:before="60"/>
        <w:ind w:firstLine="709"/>
        <w:jc w:val="both"/>
      </w:pPr>
      <w:r w:rsidRPr="001B7C99">
        <w:rPr>
          <w:rFonts w:ascii="Cambria" w:hAnsi="Cambria"/>
          <w:sz w:val="22"/>
          <w:szCs w:val="22"/>
        </w:rPr>
        <w:t>Öğretim kadrosunun sayıca yeterli, gerekli niteliklere sahip, ders verme dışındaki akademik etkinlikleri yürütme yeterliliği olması; akademik atama ve yükseltme yöntemlerinin varlığı ve uygulanıyor olması ile dışarıdan alınacak öğretim elemanlarının gerekli yeterlilikte olması hususlarında ise genellikle Yetersiz değerlendirmesi, bazı programlarda ise İyi değerlendirmesi yapılmıştır. </w:t>
      </w:r>
    </w:p>
    <w:p w:rsidR="00AA6D20" w:rsidRPr="001B7C99" w:rsidRDefault="00AA6D20" w:rsidP="00AA6D20">
      <w:pPr>
        <w:spacing w:before="60"/>
        <w:ind w:firstLine="709"/>
        <w:jc w:val="both"/>
      </w:pPr>
      <w:r w:rsidRPr="001B7C99">
        <w:rPr>
          <w:rFonts w:ascii="Cambria" w:hAnsi="Cambria"/>
          <w:sz w:val="22"/>
          <w:szCs w:val="22"/>
        </w:rPr>
        <w:t>Yönetim yapısı bakımından birimler arası ilişkilerin belirlenmiş olması; süreç ve ilişkilerin belgelendirilmiş, anlaşılır, ulaşılabilir ve uygulanabilir olması; çağdaş kayıt teknikleriyle arşivleme sisteminin olması ile iç denetimin çalışıyor olması hususlarında ise genellikle Kabul Edilebilir değerlendirmesi, bazı programlarda ise Yetersiz ve İyi değerlendirmeleri yapılmıştır.</w:t>
      </w:r>
    </w:p>
    <w:p w:rsidR="00AA6D20" w:rsidRPr="001B7C99" w:rsidRDefault="00AA6D20" w:rsidP="00AA6D20">
      <w:pPr>
        <w:spacing w:before="60"/>
        <w:ind w:firstLine="709"/>
        <w:jc w:val="both"/>
      </w:pPr>
      <w:r w:rsidRPr="001B7C99">
        <w:rPr>
          <w:rFonts w:ascii="Cambria" w:hAnsi="Cambria"/>
          <w:sz w:val="22"/>
          <w:szCs w:val="22"/>
        </w:rPr>
        <w:t>Sınıfların ve donanımlarının, laboratuvarların, sosyal ve kültürel alanlarına, öğretim elemanlarına ve idari personele sağlanan olanakların, kütüphane olanaklarının, güvenlik, yangın önlemleri, ilk yardım önlemleri ve engelli bireyler için altyapı düzenlemesinin yeterliliği hususlarındaise tüm programlarda Yetersiz ve İyi değerlendirmeleri yapılmıştır.</w:t>
      </w:r>
    </w:p>
    <w:p w:rsidR="00AA6D20" w:rsidRPr="001B7C99" w:rsidRDefault="00AA6D20" w:rsidP="00AA6D20">
      <w:pPr>
        <w:spacing w:before="60"/>
        <w:ind w:firstLine="709"/>
        <w:jc w:val="both"/>
      </w:pPr>
      <w:r w:rsidRPr="001B7C99">
        <w:rPr>
          <w:rFonts w:ascii="Cambria" w:hAnsi="Cambria"/>
          <w:sz w:val="22"/>
          <w:szCs w:val="22"/>
        </w:rPr>
        <w:t>Kurumsal destek, liderlik, bütçe ve insan kaynağının yeterliliği hususlarında ise genellikle İyi değerlendirmesi, bazı programlarda ise Kabul Edilebilir ve İyi değerlendirmeleri yapılmıştır. </w:t>
      </w:r>
    </w:p>
    <w:p w:rsidR="00AA6D20" w:rsidRPr="001B7C99" w:rsidRDefault="00AA6D20" w:rsidP="00AA6D20">
      <w:pPr>
        <w:spacing w:before="60"/>
        <w:ind w:firstLine="709"/>
        <w:jc w:val="both"/>
      </w:pPr>
      <w:r w:rsidRPr="001B7C99">
        <w:rPr>
          <w:rFonts w:ascii="Cambria" w:hAnsi="Cambria"/>
          <w:sz w:val="22"/>
          <w:szCs w:val="22"/>
        </w:rPr>
        <w:t>Ölçme ve değerlendirme sisteminden elde edilen sonuçların, programın sürekli iyileştirilmesi için kullanılması ve iyileştirme çalışmalarının gelişmeye açık alanlarda sistematik olarak elde edilen somut verilere dayanması hususlarında ise genellikle Yetersiz değerlendirmeleri yapılmıştır. </w:t>
      </w:r>
    </w:p>
    <w:p w:rsidR="00AA6D20" w:rsidRPr="001B7C99" w:rsidRDefault="00AA6D20" w:rsidP="00AA6D20"/>
    <w:p w:rsidR="005172CB" w:rsidRPr="001B7C99" w:rsidRDefault="005172CB" w:rsidP="00AA6D20"/>
    <w:p w:rsidR="005172CB" w:rsidRPr="001B7C99" w:rsidRDefault="005172CB" w:rsidP="00AA6D20"/>
    <w:p w:rsidR="00D76FA6" w:rsidRPr="001B7C99" w:rsidRDefault="00D76FA6" w:rsidP="00AA6D20"/>
    <w:p w:rsidR="005172CB" w:rsidRPr="001B7C99" w:rsidRDefault="005172CB" w:rsidP="00AA6D20"/>
    <w:p w:rsidR="005172CB" w:rsidRPr="001B7C99" w:rsidRDefault="005172CB" w:rsidP="00AA6D20"/>
    <w:p w:rsidR="00AA6D20" w:rsidRPr="001B7C99" w:rsidRDefault="00AA6D20" w:rsidP="00AA6D20">
      <w:pPr>
        <w:spacing w:before="60"/>
        <w:ind w:firstLine="709"/>
        <w:jc w:val="both"/>
        <w:rPr>
          <w:rFonts w:ascii="Cambria" w:hAnsi="Cambria"/>
          <w:b/>
          <w:bCs/>
          <w:sz w:val="22"/>
          <w:szCs w:val="22"/>
        </w:rPr>
      </w:pPr>
      <w:r w:rsidRPr="001B7C99">
        <w:rPr>
          <w:rFonts w:ascii="Cambria" w:hAnsi="Cambria"/>
          <w:b/>
          <w:bCs/>
          <w:sz w:val="22"/>
          <w:szCs w:val="22"/>
        </w:rPr>
        <w:t>3.DEĞERLENDİRME</w:t>
      </w:r>
    </w:p>
    <w:p w:rsidR="005172CB" w:rsidRPr="001B7C99" w:rsidRDefault="00AA6D20" w:rsidP="008E0A3D">
      <w:pPr>
        <w:ind w:firstLine="709"/>
        <w:jc w:val="both"/>
        <w:rPr>
          <w:rFonts w:ascii="Cambria" w:hAnsi="Cambria"/>
          <w:sz w:val="22"/>
          <w:szCs w:val="22"/>
        </w:rPr>
      </w:pPr>
      <w:proofErr w:type="gramStart"/>
      <w:r w:rsidRPr="001B7C99">
        <w:rPr>
          <w:rFonts w:ascii="Cambria" w:hAnsi="Cambria"/>
          <w:sz w:val="22"/>
          <w:szCs w:val="22"/>
        </w:rPr>
        <w:t>Turizm İşletmeciliği, Turizm Rehberliği</w:t>
      </w:r>
      <w:r w:rsidR="002269F5" w:rsidRPr="001B7C99">
        <w:rPr>
          <w:rFonts w:ascii="Cambria" w:hAnsi="Cambria"/>
          <w:sz w:val="22"/>
          <w:szCs w:val="22"/>
        </w:rPr>
        <w:t>, Seyahat İşletmeciliği</w:t>
      </w:r>
      <w:r w:rsidR="008E0A3D" w:rsidRPr="001B7C99">
        <w:rPr>
          <w:rFonts w:ascii="Cambria" w:hAnsi="Cambria"/>
          <w:sz w:val="22"/>
          <w:szCs w:val="22"/>
        </w:rPr>
        <w:t>,</w:t>
      </w:r>
      <w:r w:rsidRPr="001B7C99">
        <w:rPr>
          <w:rFonts w:ascii="Cambria" w:hAnsi="Cambria"/>
          <w:sz w:val="22"/>
          <w:szCs w:val="22"/>
        </w:rPr>
        <w:t xml:space="preserve"> Gastronomi ve Mutfak Sanatları lisans programlarına</w:t>
      </w:r>
      <w:r w:rsidR="0040263D" w:rsidRPr="001B7C99">
        <w:rPr>
          <w:rFonts w:ascii="Cambria" w:hAnsi="Cambria"/>
          <w:sz w:val="22"/>
          <w:szCs w:val="22"/>
        </w:rPr>
        <w:t xml:space="preserve"> ve Aşçılık, Turist Rehberliği, Turizm ve Otel İşletmeciliği, Turizm ve Seyahat Hizmetleri </w:t>
      </w:r>
      <w:proofErr w:type="spellStart"/>
      <w:r w:rsidR="0040263D" w:rsidRPr="001B7C99">
        <w:rPr>
          <w:rFonts w:ascii="Cambria" w:hAnsi="Cambria"/>
          <w:sz w:val="22"/>
          <w:szCs w:val="22"/>
        </w:rPr>
        <w:t>önlisans</w:t>
      </w:r>
      <w:proofErr w:type="spellEnd"/>
      <w:r w:rsidR="0040263D" w:rsidRPr="001B7C99">
        <w:rPr>
          <w:rFonts w:ascii="Cambria" w:hAnsi="Cambria"/>
          <w:sz w:val="22"/>
          <w:szCs w:val="22"/>
        </w:rPr>
        <w:t xml:space="preserve"> programlarına</w:t>
      </w:r>
      <w:r w:rsidR="001B7C99">
        <w:rPr>
          <w:rFonts w:ascii="Cambria" w:hAnsi="Cambria"/>
          <w:sz w:val="22"/>
          <w:szCs w:val="22"/>
        </w:rPr>
        <w:t xml:space="preserve"> </w:t>
      </w:r>
      <w:r w:rsidRPr="001B7C99">
        <w:rPr>
          <w:rFonts w:ascii="Cambria" w:hAnsi="Cambria"/>
          <w:sz w:val="22"/>
          <w:szCs w:val="22"/>
        </w:rPr>
        <w:t xml:space="preserve">dönük yapılan tematik analiz sonucunda elde edilen bulgulara göre şu değerlendirmeler yapılabilmektedir: Öğrenciler, program amaçları, program çıktıları ve öğretim planı konusunda genel olarak iyileştirmeye açık alanların bulunduğu ortaya çıkmaktadır. </w:t>
      </w:r>
      <w:proofErr w:type="gramEnd"/>
      <w:r w:rsidRPr="001B7C99">
        <w:rPr>
          <w:rFonts w:ascii="Cambria" w:hAnsi="Cambria"/>
          <w:sz w:val="22"/>
          <w:szCs w:val="22"/>
        </w:rPr>
        <w:t>Bu konularda</w:t>
      </w:r>
      <w:r w:rsidR="00493EB6" w:rsidRPr="001B7C99">
        <w:rPr>
          <w:rFonts w:ascii="Cambria" w:hAnsi="Cambria"/>
          <w:sz w:val="22"/>
          <w:szCs w:val="22"/>
        </w:rPr>
        <w:t xml:space="preserve">tüm </w:t>
      </w:r>
      <w:r w:rsidRPr="001B7C99">
        <w:rPr>
          <w:rFonts w:ascii="Cambria" w:hAnsi="Cambria"/>
          <w:sz w:val="22"/>
          <w:szCs w:val="22"/>
        </w:rPr>
        <w:t xml:space="preserve">programların iyileştirmeye odaklı girişimleri önemli olmakla birlikte, iyileştirmeye açık alanlara ilişkin nedenlerin daha geniş bir perspektiften belirlenmesi ve bu belirlemenin ardından çözüm önerilerinin kurum ve program yöneticileri ile paylaşılmasında fayda görülmektedir. Akademik kadro konusunda genel olarak sayısal ve niteliksel yeterliliğin varlığı görülmektedir. Niteliksel gelişmeye önem verilmesi gerektiği ve konunun çeşitli platformlarda dile getirilmesinin uygun olacağı değerlendirilmesi yapılmaktadır.  </w:t>
      </w:r>
    </w:p>
    <w:p w:rsidR="00136478" w:rsidRPr="001B7C99" w:rsidRDefault="00AA6D20" w:rsidP="008E0A3D">
      <w:pPr>
        <w:ind w:firstLine="709"/>
        <w:jc w:val="both"/>
        <w:rPr>
          <w:rFonts w:ascii="Cambria" w:hAnsi="Cambria"/>
          <w:sz w:val="22"/>
          <w:szCs w:val="22"/>
        </w:rPr>
      </w:pPr>
      <w:r w:rsidRPr="001B7C99">
        <w:rPr>
          <w:rFonts w:ascii="Cambria" w:hAnsi="Cambria"/>
          <w:sz w:val="22"/>
          <w:szCs w:val="22"/>
        </w:rPr>
        <w:t xml:space="preserve">Yönetim yapısı, alt yapı, sürekli iyileştirme, kurum desteği ve parasal kaynaklar konusunda genellikle iyileştirmeye açık alan belirlenmediği görülmektedir. </w:t>
      </w:r>
      <w:r w:rsidR="0040263D" w:rsidRPr="001B7C99">
        <w:rPr>
          <w:rFonts w:ascii="Cambria" w:hAnsi="Cambria"/>
          <w:sz w:val="22"/>
          <w:szCs w:val="22"/>
        </w:rPr>
        <w:t xml:space="preserve">Kurumsal destek ve parasal kaynakların devlet üniversitelerinde </w:t>
      </w:r>
      <w:r w:rsidR="00493EB6" w:rsidRPr="001B7C99">
        <w:rPr>
          <w:rFonts w:ascii="Cambria" w:hAnsi="Cambria"/>
          <w:sz w:val="22"/>
          <w:szCs w:val="22"/>
        </w:rPr>
        <w:t>vakıf üniversitelerine göre d</w:t>
      </w:r>
      <w:r w:rsidR="0040263D" w:rsidRPr="001B7C99">
        <w:rPr>
          <w:rFonts w:ascii="Cambria" w:hAnsi="Cambria"/>
          <w:sz w:val="22"/>
          <w:szCs w:val="22"/>
        </w:rPr>
        <w:t>aha yetersiz olduğu görülmektedir.</w:t>
      </w:r>
      <w:r w:rsidR="001B7C99" w:rsidRPr="001B7C99">
        <w:rPr>
          <w:rFonts w:ascii="Cambria" w:hAnsi="Cambria"/>
          <w:sz w:val="22"/>
          <w:szCs w:val="22"/>
        </w:rPr>
        <w:t xml:space="preserve"> </w:t>
      </w:r>
      <w:r w:rsidRPr="001B7C99">
        <w:rPr>
          <w:rFonts w:ascii="Cambria" w:hAnsi="Cambria"/>
          <w:sz w:val="22"/>
          <w:szCs w:val="22"/>
        </w:rPr>
        <w:t>Özellikle alt yapı ve mali koşulların iyileştirilmesinde kurum ve program yöneticilerinin kamu kaynakları dışında kaynak yaratma girişimlerinin yerinde olacağı vurgulanmalıdır.</w:t>
      </w:r>
      <w:r w:rsidR="001B7C99" w:rsidRPr="001B7C99">
        <w:rPr>
          <w:rFonts w:ascii="Cambria" w:hAnsi="Cambria"/>
          <w:sz w:val="22"/>
          <w:szCs w:val="22"/>
        </w:rPr>
        <w:t xml:space="preserve"> </w:t>
      </w:r>
      <w:r w:rsidR="008E0A3D" w:rsidRPr="001B7C99">
        <w:rPr>
          <w:rFonts w:ascii="Cambria" w:hAnsi="Cambria"/>
          <w:sz w:val="22"/>
          <w:szCs w:val="22"/>
        </w:rPr>
        <w:t>Turizm işletmeciliği programlarına ait Program</w:t>
      </w:r>
      <w:r w:rsidR="001B7C99" w:rsidRPr="001B7C99">
        <w:rPr>
          <w:rFonts w:ascii="Cambria" w:hAnsi="Cambria"/>
          <w:sz w:val="22"/>
          <w:szCs w:val="22"/>
        </w:rPr>
        <w:t xml:space="preserve"> </w:t>
      </w:r>
      <w:r w:rsidR="008E0A3D" w:rsidRPr="001B7C99">
        <w:rPr>
          <w:rFonts w:ascii="Cambria" w:hAnsi="Cambria"/>
          <w:sz w:val="22"/>
          <w:szCs w:val="22"/>
        </w:rPr>
        <w:t>Öğrenme</w:t>
      </w:r>
      <w:r w:rsidR="001B7C99" w:rsidRPr="001B7C99">
        <w:rPr>
          <w:rFonts w:ascii="Cambria" w:hAnsi="Cambria"/>
          <w:sz w:val="22"/>
          <w:szCs w:val="22"/>
        </w:rPr>
        <w:t xml:space="preserve"> </w:t>
      </w:r>
      <w:r w:rsidR="008E0A3D" w:rsidRPr="001B7C99">
        <w:rPr>
          <w:rFonts w:ascii="Cambria" w:hAnsi="Cambria"/>
          <w:sz w:val="22"/>
          <w:szCs w:val="22"/>
        </w:rPr>
        <w:t xml:space="preserve">Çıktılarının uygulamayla birlikte teorik arka plana da </w:t>
      </w:r>
      <w:proofErr w:type="gramStart"/>
      <w:r w:rsidR="008E0A3D" w:rsidRPr="001B7C99">
        <w:rPr>
          <w:rFonts w:ascii="Cambria" w:hAnsi="Cambria"/>
          <w:sz w:val="22"/>
          <w:szCs w:val="22"/>
        </w:rPr>
        <w:t>odaklandığı,turizm</w:t>
      </w:r>
      <w:proofErr w:type="gramEnd"/>
      <w:r w:rsidR="008E0A3D" w:rsidRPr="001B7C99">
        <w:rPr>
          <w:rFonts w:ascii="Cambria" w:hAnsi="Cambria"/>
          <w:sz w:val="22"/>
          <w:szCs w:val="22"/>
        </w:rPr>
        <w:t xml:space="preserve"> rehberliği ve Gastronomi ve Mutfak</w:t>
      </w:r>
      <w:r w:rsidR="001B7C99" w:rsidRPr="001B7C99">
        <w:rPr>
          <w:rFonts w:ascii="Cambria" w:hAnsi="Cambria"/>
          <w:sz w:val="22"/>
          <w:szCs w:val="22"/>
        </w:rPr>
        <w:t xml:space="preserve"> </w:t>
      </w:r>
      <w:r w:rsidR="008E0A3D" w:rsidRPr="001B7C99">
        <w:rPr>
          <w:rFonts w:ascii="Cambria" w:hAnsi="Cambria"/>
          <w:sz w:val="22"/>
          <w:szCs w:val="22"/>
        </w:rPr>
        <w:t>Sanatları programlarının yeterliliklere ilişkin ifadelerinde programa özgü özelliklerin kapsandığı, mesleğin gerektirdiği bilgi, becerilere yer verildiği dikkat çekmektedir.</w:t>
      </w:r>
      <w:r w:rsidR="001B7C99" w:rsidRPr="001B7C99">
        <w:rPr>
          <w:rFonts w:ascii="Cambria" w:hAnsi="Cambria"/>
          <w:sz w:val="22"/>
          <w:szCs w:val="22"/>
        </w:rPr>
        <w:t xml:space="preserve"> </w:t>
      </w:r>
      <w:r w:rsidR="00493EB6" w:rsidRPr="001B7C99">
        <w:rPr>
          <w:rFonts w:ascii="Cambria" w:hAnsi="Cambria"/>
          <w:sz w:val="22"/>
          <w:szCs w:val="22"/>
        </w:rPr>
        <w:t>Yapay zek</w:t>
      </w:r>
      <w:r w:rsidR="0083220B" w:rsidRPr="001B7C99">
        <w:rPr>
          <w:rFonts w:ascii="Cambria" w:hAnsi="Cambria"/>
          <w:sz w:val="22"/>
          <w:szCs w:val="22"/>
        </w:rPr>
        <w:t>â</w:t>
      </w:r>
      <w:r w:rsidR="00493EB6" w:rsidRPr="001B7C99">
        <w:rPr>
          <w:rFonts w:ascii="Cambria" w:hAnsi="Cambria"/>
          <w:sz w:val="22"/>
          <w:szCs w:val="22"/>
        </w:rPr>
        <w:t xml:space="preserve">, sürdürülebilirlik gibi güncel konuların artırıldığı, </w:t>
      </w:r>
      <w:r w:rsidR="00136478" w:rsidRPr="001B7C99">
        <w:rPr>
          <w:rFonts w:ascii="Cambria" w:hAnsi="Cambria"/>
          <w:sz w:val="22"/>
          <w:szCs w:val="22"/>
        </w:rPr>
        <w:t xml:space="preserve">özellikle genç araştırmacıların </w:t>
      </w:r>
      <w:r w:rsidR="00493EB6" w:rsidRPr="001B7C99">
        <w:rPr>
          <w:rFonts w:ascii="Cambria" w:hAnsi="Cambria"/>
          <w:sz w:val="22"/>
          <w:szCs w:val="22"/>
        </w:rPr>
        <w:t>uluslararası yayın ve projelere katılım</w:t>
      </w:r>
      <w:r w:rsidR="00136478" w:rsidRPr="001B7C99">
        <w:rPr>
          <w:rFonts w:ascii="Cambria" w:hAnsi="Cambria"/>
          <w:sz w:val="22"/>
          <w:szCs w:val="22"/>
        </w:rPr>
        <w:t>ının</w:t>
      </w:r>
      <w:r w:rsidR="00493EB6" w:rsidRPr="001B7C99">
        <w:rPr>
          <w:rFonts w:ascii="Cambria" w:hAnsi="Cambria"/>
          <w:sz w:val="22"/>
          <w:szCs w:val="22"/>
        </w:rPr>
        <w:t xml:space="preserve"> desteklendiği, otelcilik ve aşçılık programlarının ve muadil programların uygulama mutfağı, kat hizmetleri, ön büro</w:t>
      </w:r>
      <w:r w:rsidR="001B7C99">
        <w:rPr>
          <w:rFonts w:ascii="Cambria" w:hAnsi="Cambria"/>
          <w:sz w:val="22"/>
          <w:szCs w:val="22"/>
        </w:rPr>
        <w:t xml:space="preserve"> </w:t>
      </w:r>
      <w:r w:rsidR="00493EB6" w:rsidRPr="001B7C99">
        <w:rPr>
          <w:rFonts w:ascii="Cambria" w:hAnsi="Cambria"/>
          <w:sz w:val="22"/>
          <w:szCs w:val="22"/>
        </w:rPr>
        <w:t>gibi fiziksel alanların</w:t>
      </w:r>
      <w:r w:rsidR="0083220B" w:rsidRPr="001B7C99">
        <w:rPr>
          <w:rFonts w:ascii="Cambria" w:hAnsi="Cambria"/>
          <w:sz w:val="22"/>
          <w:szCs w:val="22"/>
        </w:rPr>
        <w:t>ın</w:t>
      </w:r>
      <w:r w:rsidR="00136478" w:rsidRPr="001B7C99">
        <w:rPr>
          <w:rFonts w:ascii="Cambria" w:hAnsi="Cambria"/>
          <w:sz w:val="22"/>
          <w:szCs w:val="22"/>
        </w:rPr>
        <w:t>, kütüphane kaynaklarının</w:t>
      </w:r>
      <w:r w:rsidR="001B7C99">
        <w:rPr>
          <w:rFonts w:ascii="Cambria" w:hAnsi="Cambria"/>
          <w:sz w:val="22"/>
          <w:szCs w:val="22"/>
        </w:rPr>
        <w:t xml:space="preserve"> </w:t>
      </w:r>
      <w:r w:rsidR="00493EB6" w:rsidRPr="001B7C99">
        <w:rPr>
          <w:rFonts w:ascii="Cambria" w:hAnsi="Cambria"/>
          <w:sz w:val="22"/>
          <w:szCs w:val="22"/>
        </w:rPr>
        <w:t>artırıldığı</w:t>
      </w:r>
      <w:r w:rsidR="00D76FA6" w:rsidRPr="001B7C99">
        <w:rPr>
          <w:rFonts w:ascii="Cambria" w:hAnsi="Cambria"/>
          <w:sz w:val="22"/>
          <w:szCs w:val="22"/>
        </w:rPr>
        <w:t xml:space="preserve"> bir eğitim </w:t>
      </w:r>
      <w:proofErr w:type="spellStart"/>
      <w:r w:rsidR="00D76FA6" w:rsidRPr="001B7C99">
        <w:rPr>
          <w:rFonts w:ascii="Cambria" w:hAnsi="Cambria"/>
          <w:sz w:val="22"/>
          <w:szCs w:val="22"/>
        </w:rPr>
        <w:t>ortamında</w:t>
      </w:r>
      <w:r w:rsidR="00136478" w:rsidRPr="001B7C99">
        <w:rPr>
          <w:rFonts w:ascii="Cambria" w:hAnsi="Cambria"/>
          <w:sz w:val="22"/>
          <w:szCs w:val="22"/>
        </w:rPr>
        <w:t>sektörle</w:t>
      </w:r>
      <w:proofErr w:type="spellEnd"/>
      <w:r w:rsidR="00136478" w:rsidRPr="001B7C99">
        <w:rPr>
          <w:rFonts w:ascii="Cambria" w:hAnsi="Cambria"/>
          <w:sz w:val="22"/>
          <w:szCs w:val="22"/>
        </w:rPr>
        <w:t xml:space="preserve"> </w:t>
      </w:r>
      <w:r w:rsidR="00493EB6" w:rsidRPr="001B7C99">
        <w:rPr>
          <w:rFonts w:ascii="Cambria" w:hAnsi="Cambria"/>
          <w:sz w:val="22"/>
          <w:szCs w:val="22"/>
        </w:rPr>
        <w:t>ve mezunlar</w:t>
      </w:r>
      <w:r w:rsidR="00136478" w:rsidRPr="001B7C99">
        <w:rPr>
          <w:rFonts w:ascii="Cambria" w:hAnsi="Cambria"/>
          <w:sz w:val="22"/>
          <w:szCs w:val="22"/>
        </w:rPr>
        <w:t>la işbirliği içinde ol</w:t>
      </w:r>
      <w:r w:rsidR="0083220B" w:rsidRPr="001B7C99">
        <w:rPr>
          <w:rFonts w:ascii="Cambria" w:hAnsi="Cambria"/>
          <w:sz w:val="22"/>
          <w:szCs w:val="22"/>
        </w:rPr>
        <w:t xml:space="preserve">unması gerekliliği görülmektedir. </w:t>
      </w:r>
    </w:p>
    <w:p w:rsidR="00493EB6" w:rsidRPr="001B7C99" w:rsidRDefault="00493EB6" w:rsidP="00AA6D20">
      <w:pPr>
        <w:rPr>
          <w:rFonts w:ascii="Cambria" w:hAnsi="Cambria"/>
          <w:sz w:val="22"/>
          <w:szCs w:val="22"/>
        </w:rPr>
      </w:pPr>
    </w:p>
    <w:p w:rsidR="009758A2" w:rsidRPr="001B7C99" w:rsidRDefault="009758A2"/>
    <w:p w:rsidR="0083220B" w:rsidRPr="001B7C99" w:rsidRDefault="0083220B"/>
    <w:p w:rsidR="008E0A3D" w:rsidRPr="001B7C99" w:rsidRDefault="008E0A3D" w:rsidP="008E0A3D">
      <w:pPr>
        <w:jc w:val="both"/>
        <w:rPr>
          <w:rFonts w:ascii="Cambria" w:hAnsi="Cambria"/>
          <w:sz w:val="22"/>
          <w:szCs w:val="22"/>
        </w:rPr>
      </w:pPr>
    </w:p>
    <w:p w:rsidR="008E0A3D" w:rsidRPr="001B7C99" w:rsidRDefault="008E0A3D" w:rsidP="008E0A3D">
      <w:pPr>
        <w:jc w:val="both"/>
        <w:rPr>
          <w:rFonts w:ascii="Cambria" w:hAnsi="Cambria"/>
          <w:sz w:val="22"/>
          <w:szCs w:val="22"/>
        </w:rPr>
      </w:pPr>
    </w:p>
    <w:p w:rsidR="008E0A3D" w:rsidRPr="001B7C99" w:rsidRDefault="008E0A3D" w:rsidP="008E0A3D">
      <w:pPr>
        <w:jc w:val="both"/>
        <w:rPr>
          <w:rFonts w:ascii="Cambria" w:hAnsi="Cambria"/>
          <w:sz w:val="22"/>
          <w:szCs w:val="22"/>
        </w:rPr>
      </w:pPr>
    </w:p>
    <w:sectPr w:rsidR="008E0A3D" w:rsidRPr="001B7C99" w:rsidSect="008B380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35244"/>
    <w:multiLevelType w:val="multilevel"/>
    <w:tmpl w:val="672C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42495E"/>
    <w:multiLevelType w:val="multilevel"/>
    <w:tmpl w:val="D21C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8C6679"/>
    <w:multiLevelType w:val="multilevel"/>
    <w:tmpl w:val="EE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7C3BC5"/>
    <w:multiLevelType w:val="multilevel"/>
    <w:tmpl w:val="4AF4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2D6D52"/>
    <w:multiLevelType w:val="multilevel"/>
    <w:tmpl w:val="507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AE50EF"/>
    <w:multiLevelType w:val="multilevel"/>
    <w:tmpl w:val="64AE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077DAF"/>
    <w:multiLevelType w:val="multilevel"/>
    <w:tmpl w:val="FDFE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5F09C7"/>
    <w:multiLevelType w:val="multilevel"/>
    <w:tmpl w:val="A8FA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294413"/>
    <w:multiLevelType w:val="multilevel"/>
    <w:tmpl w:val="7BAA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FC75E3"/>
    <w:multiLevelType w:val="multilevel"/>
    <w:tmpl w:val="B4A0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EC4DF9"/>
    <w:multiLevelType w:val="multilevel"/>
    <w:tmpl w:val="14AE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9C48F6"/>
    <w:multiLevelType w:val="multilevel"/>
    <w:tmpl w:val="A20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
  </w:num>
  <w:num w:numId="4">
    <w:abstractNumId w:val="5"/>
  </w:num>
  <w:num w:numId="5">
    <w:abstractNumId w:val="8"/>
  </w:num>
  <w:num w:numId="6">
    <w:abstractNumId w:val="2"/>
  </w:num>
  <w:num w:numId="7">
    <w:abstractNumId w:val="0"/>
  </w:num>
  <w:num w:numId="8">
    <w:abstractNumId w:val="10"/>
  </w:num>
  <w:num w:numId="9">
    <w:abstractNumId w:val="7"/>
  </w:num>
  <w:num w:numId="10">
    <w:abstractNumId w:val="9"/>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compat/>
  <w:rsids>
    <w:rsidRoot w:val="00AA6D20"/>
    <w:rsid w:val="00136478"/>
    <w:rsid w:val="001B7C99"/>
    <w:rsid w:val="002269F5"/>
    <w:rsid w:val="0040263D"/>
    <w:rsid w:val="00493EB6"/>
    <w:rsid w:val="005172CB"/>
    <w:rsid w:val="00622A4B"/>
    <w:rsid w:val="006C5A5E"/>
    <w:rsid w:val="0083220B"/>
    <w:rsid w:val="008B3809"/>
    <w:rsid w:val="008E0A3D"/>
    <w:rsid w:val="00936B19"/>
    <w:rsid w:val="009758A2"/>
    <w:rsid w:val="00AA6D20"/>
    <w:rsid w:val="00BB2D1E"/>
    <w:rsid w:val="00C4504E"/>
    <w:rsid w:val="00D76FA6"/>
    <w:rsid w:val="00F03C4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78"/>
    <w:rPr>
      <w:rFonts w:ascii="Times New Roman" w:eastAsia="Times New Roman" w:hAnsi="Times New Roman" w:cs="Times New Roman"/>
      <w:kern w:val="0"/>
    </w:rPr>
  </w:style>
  <w:style w:type="paragraph" w:styleId="Balk2">
    <w:name w:val="heading 2"/>
    <w:basedOn w:val="Normal"/>
    <w:link w:val="Balk2Char"/>
    <w:uiPriority w:val="9"/>
    <w:qFormat/>
    <w:rsid w:val="00493EB6"/>
    <w:pPr>
      <w:spacing w:before="100" w:beforeAutospacing="1" w:after="100" w:afterAutospacing="1"/>
      <w:outlineLvl w:val="1"/>
    </w:pPr>
    <w:rPr>
      <w:b/>
      <w:bCs/>
      <w:sz w:val="36"/>
      <w:szCs w:val="36"/>
    </w:rPr>
  </w:style>
  <w:style w:type="paragraph" w:styleId="Balk3">
    <w:name w:val="heading 3"/>
    <w:basedOn w:val="Normal"/>
    <w:link w:val="Balk3Char"/>
    <w:uiPriority w:val="9"/>
    <w:qFormat/>
    <w:rsid w:val="00493EB6"/>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A6D20"/>
    <w:pPr>
      <w:spacing w:before="100" w:beforeAutospacing="1" w:after="100" w:afterAutospacing="1"/>
    </w:pPr>
  </w:style>
  <w:style w:type="character" w:customStyle="1" w:styleId="Balk2Char">
    <w:name w:val="Başlık 2 Char"/>
    <w:basedOn w:val="VarsaylanParagrafYazTipi"/>
    <w:link w:val="Balk2"/>
    <w:uiPriority w:val="9"/>
    <w:rsid w:val="00493EB6"/>
    <w:rPr>
      <w:rFonts w:ascii="Times New Roman" w:eastAsia="Times New Roman" w:hAnsi="Times New Roman" w:cs="Times New Roman"/>
      <w:b/>
      <w:bCs/>
      <w:kern w:val="0"/>
      <w:sz w:val="36"/>
      <w:szCs w:val="36"/>
    </w:rPr>
  </w:style>
  <w:style w:type="character" w:customStyle="1" w:styleId="Balk3Char">
    <w:name w:val="Başlık 3 Char"/>
    <w:basedOn w:val="VarsaylanParagrafYazTipi"/>
    <w:link w:val="Balk3"/>
    <w:uiPriority w:val="9"/>
    <w:rsid w:val="00493EB6"/>
    <w:rPr>
      <w:rFonts w:ascii="Times New Roman" w:eastAsia="Times New Roman" w:hAnsi="Times New Roman" w:cs="Times New Roman"/>
      <w:b/>
      <w:bCs/>
      <w:kern w:val="0"/>
      <w:sz w:val="27"/>
      <w:szCs w:val="27"/>
    </w:rPr>
  </w:style>
  <w:style w:type="character" w:styleId="Gl">
    <w:name w:val="Strong"/>
    <w:basedOn w:val="VarsaylanParagrafYazTipi"/>
    <w:uiPriority w:val="22"/>
    <w:qFormat/>
    <w:rsid w:val="00493EB6"/>
    <w:rPr>
      <w:b/>
      <w:bCs/>
    </w:rPr>
  </w:style>
</w:styles>
</file>

<file path=word/webSettings.xml><?xml version="1.0" encoding="utf-8"?>
<w:webSettings xmlns:r="http://schemas.openxmlformats.org/officeDocument/2006/relationships" xmlns:w="http://schemas.openxmlformats.org/wordprocessingml/2006/main">
  <w:divs>
    <w:div w:id="21439344">
      <w:bodyDiv w:val="1"/>
      <w:marLeft w:val="0"/>
      <w:marRight w:val="0"/>
      <w:marTop w:val="0"/>
      <w:marBottom w:val="0"/>
      <w:divBdr>
        <w:top w:val="none" w:sz="0" w:space="0" w:color="auto"/>
        <w:left w:val="none" w:sz="0" w:space="0" w:color="auto"/>
        <w:bottom w:val="none" w:sz="0" w:space="0" w:color="auto"/>
        <w:right w:val="none" w:sz="0" w:space="0" w:color="auto"/>
      </w:divBdr>
    </w:div>
    <w:div w:id="528758353">
      <w:bodyDiv w:val="1"/>
      <w:marLeft w:val="0"/>
      <w:marRight w:val="0"/>
      <w:marTop w:val="0"/>
      <w:marBottom w:val="0"/>
      <w:divBdr>
        <w:top w:val="none" w:sz="0" w:space="0" w:color="auto"/>
        <w:left w:val="none" w:sz="0" w:space="0" w:color="auto"/>
        <w:bottom w:val="none" w:sz="0" w:space="0" w:color="auto"/>
        <w:right w:val="none" w:sz="0" w:space="0" w:color="auto"/>
      </w:divBdr>
      <w:divsChild>
        <w:div w:id="194290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574664">
          <w:blockQuote w:val="1"/>
          <w:marLeft w:val="720"/>
          <w:marRight w:val="720"/>
          <w:marTop w:val="100"/>
          <w:marBottom w:val="100"/>
          <w:divBdr>
            <w:top w:val="none" w:sz="0" w:space="0" w:color="auto"/>
            <w:left w:val="none" w:sz="0" w:space="0" w:color="auto"/>
            <w:bottom w:val="none" w:sz="0" w:space="0" w:color="auto"/>
            <w:right w:val="none" w:sz="0" w:space="0" w:color="auto"/>
          </w:divBdr>
        </w:div>
        <w:div w:id="57440412">
          <w:blockQuote w:val="1"/>
          <w:marLeft w:val="720"/>
          <w:marRight w:val="720"/>
          <w:marTop w:val="100"/>
          <w:marBottom w:val="100"/>
          <w:divBdr>
            <w:top w:val="none" w:sz="0" w:space="0" w:color="auto"/>
            <w:left w:val="none" w:sz="0" w:space="0" w:color="auto"/>
            <w:bottom w:val="none" w:sz="0" w:space="0" w:color="auto"/>
            <w:right w:val="none" w:sz="0" w:space="0" w:color="auto"/>
          </w:divBdr>
        </w:div>
        <w:div w:id="618687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048652">
      <w:bodyDiv w:val="1"/>
      <w:marLeft w:val="0"/>
      <w:marRight w:val="0"/>
      <w:marTop w:val="0"/>
      <w:marBottom w:val="0"/>
      <w:divBdr>
        <w:top w:val="none" w:sz="0" w:space="0" w:color="auto"/>
        <w:left w:val="none" w:sz="0" w:space="0" w:color="auto"/>
        <w:bottom w:val="none" w:sz="0" w:space="0" w:color="auto"/>
        <w:right w:val="none" w:sz="0" w:space="0" w:color="auto"/>
      </w:divBdr>
      <w:divsChild>
        <w:div w:id="1829440632">
          <w:marLeft w:val="0"/>
          <w:marRight w:val="0"/>
          <w:marTop w:val="0"/>
          <w:marBottom w:val="0"/>
          <w:divBdr>
            <w:top w:val="none" w:sz="0" w:space="0" w:color="auto"/>
            <w:left w:val="none" w:sz="0" w:space="0" w:color="auto"/>
            <w:bottom w:val="none" w:sz="0" w:space="0" w:color="auto"/>
            <w:right w:val="none" w:sz="0" w:space="0" w:color="auto"/>
          </w:divBdr>
          <w:divsChild>
            <w:div w:id="19474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 dogan</dc:creator>
  <cp:keywords/>
  <dc:description/>
  <cp:lastModifiedBy>Windows 10</cp:lastModifiedBy>
  <cp:revision>4</cp:revision>
  <dcterms:created xsi:type="dcterms:W3CDTF">2025-05-08T22:23:00Z</dcterms:created>
  <dcterms:modified xsi:type="dcterms:W3CDTF">2025-05-12T15:51:00Z</dcterms:modified>
</cp:coreProperties>
</file>